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10) приложение 14 «Перечень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 на 2025 год» изложить в следующей редакции:</w:t>
      </w:r>
    </w:p>
    <w:tbl>
      <w:tblPr>
        <w:tblW w:w="16018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5694"/>
        <w:gridCol w:w="2385"/>
        <w:gridCol w:w="687"/>
        <w:gridCol w:w="846"/>
        <w:gridCol w:w="882"/>
        <w:gridCol w:w="1735"/>
        <w:gridCol w:w="2009"/>
        <w:gridCol w:w="1778"/>
      </w:tblGrid>
      <w:tr>
        <w:trPr>
          <w:trHeight w:val="1186" w:hRule="atLeast"/>
        </w:trPr>
        <w:tc>
          <w:tcPr>
            <w:tcW w:w="16016" w:type="dxa"/>
            <w:gridSpan w:val="8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«Приложение 14</w:t>
              <w:br/>
              <w:t>к Закону Чукотского автономного округа</w:t>
              <w:br/>
              <w:t>«Об окружном бюджете на 2025 год и на плановый период 2026 и 2027 годов»</w:t>
            </w:r>
          </w:p>
        </w:tc>
      </w:tr>
      <w:tr>
        <w:trPr>
          <w:trHeight w:val="1380" w:hRule="atLeast"/>
        </w:trPr>
        <w:tc>
          <w:tcPr>
            <w:tcW w:w="16016" w:type="dxa"/>
            <w:gridSpan w:val="8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Перечень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 на 2025 год</w:t>
            </w:r>
          </w:p>
        </w:tc>
      </w:tr>
      <w:tr>
        <w:trPr>
          <w:trHeight w:val="375" w:hRule="atLeast"/>
        </w:trPr>
        <w:tc>
          <w:tcPr>
            <w:tcW w:w="16016" w:type="dxa"/>
            <w:gridSpan w:val="8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5694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2385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687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846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882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ГРБС</w:t>
            </w:r>
          </w:p>
        </w:tc>
        <w:tc>
          <w:tcPr>
            <w:tcW w:w="1735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Сумма-всего</w:t>
            </w:r>
          </w:p>
        </w:tc>
        <w:tc>
          <w:tcPr>
            <w:tcW w:w="2009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1778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средств окружного бюджета</w:t>
            </w:r>
          </w:p>
        </w:tc>
      </w:tr>
    </w:tbl>
    <w:p>
      <w:pPr>
        <w:pStyle w:val="Normal"/>
        <w:spacing w:lineRule="auto" w:line="240"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6018" w:type="dxa"/>
        <w:jc w:val="start"/>
        <w:tblInd w:w="0" w:type="dxa"/>
        <w:tblLayout w:type="fixed"/>
        <w:tblCellMar>
          <w:top w:w="55" w:type="dxa"/>
          <w:start w:w="108" w:type="dxa"/>
          <w:bottom w:w="55" w:type="dxa"/>
          <w:end w:w="108" w:type="dxa"/>
        </w:tblCellMar>
        <w:tblLook w:val="04a0" w:noHBand="0" w:noVBand="1" w:firstColumn="1" w:lastRow="0" w:lastColumn="0" w:firstRow="1"/>
      </w:tblPr>
      <w:tblGrid>
        <w:gridCol w:w="5694"/>
        <w:gridCol w:w="2385"/>
        <w:gridCol w:w="687"/>
        <w:gridCol w:w="846"/>
        <w:gridCol w:w="882"/>
        <w:gridCol w:w="1735"/>
        <w:gridCol w:w="2009"/>
        <w:gridCol w:w="1778"/>
      </w:tblGrid>
      <w:tr>
        <w:trPr>
          <w:tblHeader w:val="true"/>
          <w:trHeight w:val="20" w:hRule="atLeast"/>
        </w:trPr>
        <w:tc>
          <w:tcPr>
            <w:tcW w:w="56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88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7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20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77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18 200 365,7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1 255 120,8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16 945 244,9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I. Дотации местным бюджетам Чукотского автономного округа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5 716 701,1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5 716 701,1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5 716 701,1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5 716 701,1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муниципальных районов и городских округов</w:t>
            </w:r>
          </w:p>
        </w:tc>
        <w:tc>
          <w:tcPr>
            <w:tcW w:w="2385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6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4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35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  <w:tc>
          <w:tcPr>
            <w:tcW w:w="2009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713 084,1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713 084,1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II. Субсидии местным бюджетам Чукотского автономного округа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5 595 647,7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984 142,1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4 611 505,6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«Стимулирование экономической активности населения Чукотского автономного округа»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82 195,5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82 195,5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«северного завоза» потребительских товаров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47 195,5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47 195,5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57 893,7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11 893,7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55190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966,4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956,7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9,7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Техническое оснащение региональных и муниципальных музеев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55900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8 913,5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8 824,2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89,3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1 853,2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1 760,5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92,7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R5191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5,3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R5192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52,7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2,7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R5193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202,3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10,7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А5193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05 4 02 42160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работ по сохранению объектов культурного наследия, находящегося в муниципальной собственности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05 4 06 43260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920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1 250 645,3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11 191,7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1 239 453,6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89 340,5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89 340,5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1 107,7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11,2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906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10 084,0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101,9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жилищно-коммунального хозяйства и водохозяйственного комплекса Чукотского автономного округа»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1 502 061,1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1 370 627,4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51540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67 907,7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за счет средств окружного бюджета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А1540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8 097,0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8 097,0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реконструкцию объекта инфраструктуры «Плотина на ручье Певек» в целях реализации нового инвестиционного проекта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08 4 04 42107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17 793,0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17 793,0</w:t>
            </w:r>
          </w:p>
        </w:tc>
      </w:tr>
      <w:tr>
        <w:trPr>
          <w:trHeight w:val="20" w:hRule="atLeast"/>
        </w:trPr>
        <w:tc>
          <w:tcPr>
            <w:tcW w:w="5694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</w:t>
            </w:r>
          </w:p>
        </w:tc>
        <w:tc>
          <w:tcPr>
            <w:tcW w:w="2385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92 853,7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92 853,7</w:t>
            </w:r>
          </w:p>
        </w:tc>
      </w:tr>
      <w:tr>
        <w:trPr>
          <w:trHeight w:val="20" w:hRule="atLeast"/>
        </w:trPr>
        <w:tc>
          <w:tcPr>
            <w:tcW w:w="5694" w:type="dxa"/>
            <w:vMerge w:val="continue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385" w:type="dxa"/>
            <w:vMerge w:val="continue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162 000,0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162 000,0</w:t>
            </w:r>
          </w:p>
        </w:tc>
      </w:tr>
      <w:tr>
        <w:trPr>
          <w:trHeight w:val="20" w:hRule="atLeast"/>
        </w:trPr>
        <w:tc>
          <w:tcPr>
            <w:tcW w:w="5694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</w:t>
            </w:r>
          </w:p>
        </w:tc>
        <w:tc>
          <w:tcPr>
            <w:tcW w:w="2385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104 558,0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104 558,0</w:t>
            </w:r>
          </w:p>
        </w:tc>
      </w:tr>
      <w:tr>
        <w:trPr>
          <w:trHeight w:val="20" w:hRule="atLeast"/>
        </w:trPr>
        <w:tc>
          <w:tcPr>
            <w:tcW w:w="5694" w:type="dxa"/>
            <w:vMerge w:val="continue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385" w:type="dxa"/>
            <w:vMerge w:val="continue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322 110,8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322 110,8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817 610,2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319 583,5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498 026,7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177 210,2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13 338,5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8 311,1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83,9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54 894,4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54 894,4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102 089,8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102 089,8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90 299,0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4 752,6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школьных театров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09 4 05 42129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46 066,6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43 763,2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2 303,4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детских и молодежных движений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09 4 10 42132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10 936,5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10 936,5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транспортной инфраструктуры Чукотского автономного округа»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112 133,2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112 133,2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9Д410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902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166 722,0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166 722,0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проектов инициативного бюджетирования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12 4 01 42100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905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</w:tr>
      <w:tr>
        <w:trPr>
          <w:trHeight w:val="20" w:hRule="atLeast"/>
        </w:trPr>
        <w:tc>
          <w:tcPr>
            <w:tcW w:w="5694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</w:t>
            </w:r>
          </w:p>
        </w:tc>
        <w:tc>
          <w:tcPr>
            <w:tcW w:w="2385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24 662,7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24 662,7</w:t>
            </w:r>
          </w:p>
        </w:tc>
      </w:tr>
      <w:tr>
        <w:trPr>
          <w:trHeight w:val="20" w:hRule="atLeast"/>
        </w:trPr>
        <w:tc>
          <w:tcPr>
            <w:tcW w:w="5694" w:type="dxa"/>
            <w:vMerge w:val="continue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385" w:type="dxa"/>
            <w:vMerge w:val="continue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2 059,2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2 059,2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жилищного строительства в Чукотском автономном округе»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785 347,2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785 347,2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 по развитию жилищного строительства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42280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434 778,6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434 778,6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устойчивого сокращения непригодного для проживания жилого фонда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67485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13 416,3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13 416,3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6 185,8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6 185,8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244 367,4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30 039,5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214 327,9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физической культуры и спорта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15 2 01 42251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15 2 01 42980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14 250,0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R2280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2 092,5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1 987,9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104,6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 за счет средств окружного бюджета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А2280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закупку и монтаж оборудования для создания «умных» спортивных площадок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 R7530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11 400,0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 А7530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15 4 03 42390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15 4 03 43450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10 631,9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10 631,9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Достижение показателей государственной программы Российской Федерации «Реализация государственной национальной политики» (Развитие и поддержка национальных видов спорта)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F5183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914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2 528,0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2 401,6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126,4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«Предупреждение чрезвычайных ситуаций природного и техногенного характера и обеспечение пожарной безопасности в Чукотском автономном округе»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материальное стимулирование добровольной пожарной охраны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16 4 05 72142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«Охрана окружающей среды и обеспечение рационального природопользования в Чукотском автономном округе»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А4700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916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«Формирование комфортной городской среды в Чукотском автономном округе»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546 798,1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480 000,0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66 798,1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54240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353 535,6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350 000,0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3 535,6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55550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101 010,3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1 010,3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303,1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III. Субвенции местным бюджетам Чукотского автономного округа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6 630 304,1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50 915,2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6 579 388,9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212 885,1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10 303,2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202 581,9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10 303,2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542,3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903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202 039,6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202 039,6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917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6 348 311,7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6 348 311,7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6 322 126,3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6 322 126,3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63 174,5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40 612,0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22 562,5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17 268,6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17 268,6</w:t>
            </w:r>
          </w:p>
        </w:tc>
      </w:tr>
      <w:tr>
        <w:trPr>
          <w:trHeight w:val="20" w:hRule="atLeast"/>
        </w:trPr>
        <w:tc>
          <w:tcPr>
            <w:tcW w:w="5694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</w:t>
            </w:r>
          </w:p>
        </w:tc>
        <w:tc>
          <w:tcPr>
            <w:tcW w:w="2385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694" w:type="dxa"/>
            <w:vMerge w:val="continue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385" w:type="dxa"/>
            <w:vMerge w:val="continue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>
        <w:trPr>
          <w:trHeight w:val="20" w:hRule="atLeast"/>
        </w:trPr>
        <w:tc>
          <w:tcPr>
            <w:tcW w:w="5694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385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694" w:type="dxa"/>
            <w:vMerge w:val="continue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385" w:type="dxa"/>
            <w:vMerge w:val="continue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922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694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состояния»</w:t>
            </w:r>
          </w:p>
        </w:tc>
        <w:tc>
          <w:tcPr>
            <w:tcW w:w="2385" w:type="dxa"/>
            <w:vMerge w:val="restart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694" w:type="dxa"/>
            <w:vMerge w:val="continue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385" w:type="dxa"/>
            <w:vMerge w:val="continue"/>
            <w:tcBorders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919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Раздел IV. Иные межбюджетные трансферты местным бюджетам Чукотского автономного округа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257 712,8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220 063,5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220 063,5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220 063,5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918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>
        <w:trPr>
          <w:trHeight w:val="20" w:hRule="atLeast"/>
        </w:trPr>
        <w:tc>
          <w:tcPr>
            <w:tcW w:w="5694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межбюджетные трансферты бюджетам муниципальных образований Чукотского автономного округа за достижение показателей деятельности, за счет средств гранта</w:t>
            </w:r>
          </w:p>
        </w:tc>
        <w:tc>
          <w:tcPr>
            <w:tcW w:w="238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4555Г</w:t>
            </w:r>
          </w:p>
        </w:tc>
        <w:tc>
          <w:tcPr>
            <w:tcW w:w="687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46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82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910</w:t>
            </w:r>
          </w:p>
        </w:tc>
        <w:tc>
          <w:tcPr>
            <w:tcW w:w="1735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  <w:tc>
          <w:tcPr>
            <w:tcW w:w="2009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778" w:type="dxa"/>
            <w:tcBorders/>
            <w:tcMar>
              <w:top w:w="0" w:type="dxa"/>
              <w:bottom w:w="0" w:type="dxa"/>
            </w:tcMar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end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color w:val="000000"/>
          <w:kern w:val="0"/>
          <w:sz w:val="28"/>
          <w:szCs w:val="28"/>
          <w:lang w:eastAsia="ru-RU"/>
          <w14:ligatures w14:val="none"/>
        </w:rPr>
        <w:t>»;</w:t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425" w:right="397" w:gutter="0" w:header="709" w:top="1268" w:footer="0" w:bottom="567"/>
      <w:pgNumType w:start="767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Calibri Light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Times New Roman">
    <w:charset w:val="01" w:characterSet="utf-8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sz w:val="24"/>
        <w:szCs w:val="24"/>
        <w:rFonts w:ascii="Times New Roman" w:hAnsi="Times New Roman"/>
      </w:rPr>
      <w:instrText xml:space="preserve"> PAGE </w:instrText>
    </w:r>
    <w:r>
      <w:rPr>
        <w:sz w:val="24"/>
        <w:szCs w:val="24"/>
        <w:rFonts w:ascii="Times New Roman" w:hAnsi="Times New Roman"/>
      </w:rPr>
      <w:fldChar w:fldCharType="separate"/>
    </w:r>
    <w:r>
      <w:rPr>
        <w:sz w:val="24"/>
        <w:szCs w:val="24"/>
        <w:rFonts w:ascii="Times New Roman" w:hAnsi="Times New Roman"/>
      </w:rPr>
      <w:t>780</w:t>
    </w:r>
    <w:r>
      <w:rPr>
        <w:sz w:val="24"/>
        <w:szCs w:val="24"/>
        <w:rFonts w:ascii="Times New Roman" w:hAnsi="Times New Roman"/>
      </w:rPr>
      <w:fldChar w:fldCharType="end"/>
    </w:r>
  </w:p>
  <w:p>
    <w:pPr>
      <w:pStyle w:val="Header"/>
      <w:jc w:val="center"/>
      <w:rPr>
        <w:rFonts w:ascii="Times New Roman" w:hAnsi="Times New Roman"/>
        <w:sz w:val="24"/>
        <w:szCs w:val="24"/>
      </w:rPr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767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rsid w:val="00143539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143539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143539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143539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143539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F5496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143539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143539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143539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143539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143539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semiHidden/>
    <w:qFormat/>
    <w:rsid w:val="00143539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143539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4" w:customStyle="1">
    <w:name w:val="Заголовок 4 Знак"/>
    <w:basedOn w:val="DefaultParagraphFont"/>
    <w:uiPriority w:val="9"/>
    <w:semiHidden/>
    <w:qFormat/>
    <w:rsid w:val="00143539"/>
    <w:rPr>
      <w:rFonts w:eastAsia="" w:cs="" w:cstheme="majorBidi" w:eastAsiaTheme="majorEastAsia"/>
      <w:i/>
      <w:iCs/>
      <w:color w:themeColor="accent1" w:themeShade="bf" w:val="2F5496"/>
    </w:rPr>
  </w:style>
  <w:style w:type="character" w:styleId="5" w:customStyle="1">
    <w:name w:val="Заголовок 5 Знак"/>
    <w:basedOn w:val="DefaultParagraphFont"/>
    <w:uiPriority w:val="9"/>
    <w:semiHidden/>
    <w:qFormat/>
    <w:rsid w:val="00143539"/>
    <w:rPr>
      <w:rFonts w:eastAsia="" w:cs="" w:cstheme="majorBidi" w:eastAsiaTheme="majorEastAsia"/>
      <w:color w:themeColor="accent1" w:themeShade="bf" w:val="2F5496"/>
    </w:rPr>
  </w:style>
  <w:style w:type="character" w:styleId="6" w:customStyle="1">
    <w:name w:val="Заголовок 6 Знак"/>
    <w:basedOn w:val="DefaultParagraphFont"/>
    <w:uiPriority w:val="9"/>
    <w:semiHidden/>
    <w:qFormat/>
    <w:rsid w:val="00143539"/>
    <w:rPr>
      <w:rFonts w:eastAsia="" w:cs="" w:cstheme="majorBidi" w:eastAsiaTheme="majorEastAsia"/>
      <w:i/>
      <w:iCs/>
      <w:color w:themeColor="text1" w:themeTint="a6" w:val="595959"/>
    </w:rPr>
  </w:style>
  <w:style w:type="character" w:styleId="7" w:customStyle="1">
    <w:name w:val="Заголовок 7 Знак"/>
    <w:basedOn w:val="DefaultParagraphFont"/>
    <w:uiPriority w:val="9"/>
    <w:semiHidden/>
    <w:qFormat/>
    <w:rsid w:val="00143539"/>
    <w:rPr>
      <w:rFonts w:eastAsia="" w:cs="" w:cstheme="majorBidi" w:eastAsiaTheme="majorEastAsia"/>
      <w:color w:themeColor="text1" w:themeTint="a6" w:val="595959"/>
    </w:rPr>
  </w:style>
  <w:style w:type="character" w:styleId="8" w:customStyle="1">
    <w:name w:val="Заголовок 8 Знак"/>
    <w:basedOn w:val="DefaultParagraphFont"/>
    <w:uiPriority w:val="9"/>
    <w:semiHidden/>
    <w:qFormat/>
    <w:rsid w:val="00143539"/>
    <w:rPr>
      <w:rFonts w:eastAsia="" w:cs="" w:cstheme="majorBidi" w:eastAsiaTheme="majorEastAsia"/>
      <w:i/>
      <w:iCs/>
      <w:color w:themeColor="text1" w:themeTint="d8" w:val="272727"/>
    </w:rPr>
  </w:style>
  <w:style w:type="character" w:styleId="9" w:customStyle="1">
    <w:name w:val="Заголовок 9 Знак"/>
    <w:basedOn w:val="DefaultParagraphFont"/>
    <w:uiPriority w:val="9"/>
    <w:semiHidden/>
    <w:qFormat/>
    <w:rsid w:val="00143539"/>
    <w:rPr>
      <w:rFonts w:eastAsia="" w:cs="" w:cstheme="majorBidi" w:eastAsiaTheme="majorEastAsia"/>
      <w:color w:themeColor="text1" w:themeTint="d8" w:val="272727"/>
    </w:rPr>
  </w:style>
  <w:style w:type="character" w:styleId="Style5" w:customStyle="1">
    <w:name w:val="Заголовок Знак"/>
    <w:basedOn w:val="DefaultParagraphFont"/>
    <w:uiPriority w:val="10"/>
    <w:qFormat/>
    <w:rsid w:val="00143539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143539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21" w:customStyle="1">
    <w:name w:val="Цитата 2 Знак"/>
    <w:basedOn w:val="DefaultParagraphFont"/>
    <w:link w:val="Quote"/>
    <w:uiPriority w:val="29"/>
    <w:qFormat/>
    <w:rsid w:val="00143539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143539"/>
    <w:rPr>
      <w:i/>
      <w:iCs/>
      <w:color w:themeColor="accent1" w:themeShade="bf" w:val="2F5496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143539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143539"/>
    <w:rPr>
      <w:b/>
      <w:bCs/>
      <w:smallCaps/>
      <w:color w:themeColor="accent1" w:themeShade="bf" w:val="2F5496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14353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43539"/>
    <w:rPr>
      <w:color w:val="800080"/>
      <w:u w:val="single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3017fb"/>
    <w:rPr/>
  </w:style>
  <w:style w:type="character" w:styleId="Style9" w:customStyle="1">
    <w:name w:val="Нижний колонтитул Знак"/>
    <w:basedOn w:val="DefaultParagraphFont"/>
    <w:uiPriority w:val="99"/>
    <w:qFormat/>
    <w:rsid w:val="003017fb"/>
    <w:rPr/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Normal"/>
    <w:link w:val="Style5"/>
    <w:uiPriority w:val="10"/>
    <w:qFormat/>
    <w:rsid w:val="00143539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tyle6"/>
    <w:uiPriority w:val="11"/>
    <w:qFormat/>
    <w:rsid w:val="00143539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1"/>
    <w:uiPriority w:val="29"/>
    <w:qFormat/>
    <w:rsid w:val="00143539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143539"/>
    <w:pPr>
      <w:spacing w:before="0" w:after="160"/>
      <w:ind w:start="72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14353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start="864" w:end="864"/>
      <w:jc w:val="center"/>
    </w:pPr>
    <w:rPr>
      <w:i/>
      <w:iCs/>
      <w:color w:themeColor="accent1" w:themeShade="bf" w:val="2F5496"/>
    </w:rPr>
  </w:style>
  <w:style w:type="paragraph" w:styleId="msonormal" w:customStyle="1">
    <w:name w:val="msonormal"/>
    <w:basedOn w:val="Normal"/>
    <w:qFormat/>
    <w:rsid w:val="00143539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lang w:eastAsia="ru-RU"/>
      <w14:ligatures w14:val="none"/>
    </w:rPr>
  </w:style>
  <w:style w:type="paragraph" w:styleId="xl90" w:customStyle="1">
    <w:name w:val="xl90"/>
    <w:basedOn w:val="Normal"/>
    <w:qFormat/>
    <w:rsid w:val="0014353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91" w:customStyle="1">
    <w:name w:val="xl91"/>
    <w:basedOn w:val="Normal"/>
    <w:qFormat/>
    <w:rsid w:val="0014353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E4BC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92" w:customStyle="1">
    <w:name w:val="xl92"/>
    <w:basedOn w:val="Normal"/>
    <w:qFormat/>
    <w:rsid w:val="0014353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93" w:customStyle="1">
    <w:name w:val="xl93"/>
    <w:basedOn w:val="Normal"/>
    <w:qFormat/>
    <w:rsid w:val="00143539"/>
    <w:pP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color w:val="000000"/>
      <w:kern w:val="0"/>
      <w:lang w:eastAsia="ru-RU"/>
      <w14:ligatures w14:val="none"/>
    </w:rPr>
  </w:style>
  <w:style w:type="paragraph" w:styleId="xl94" w:customStyle="1">
    <w:name w:val="xl94"/>
    <w:basedOn w:val="Normal"/>
    <w:qFormat/>
    <w:rsid w:val="001435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kern w:val="0"/>
      <w:lang w:eastAsia="ru-RU"/>
      <w14:ligatures w14:val="none"/>
    </w:rPr>
  </w:style>
  <w:style w:type="paragraph" w:styleId="xl95" w:customStyle="1">
    <w:name w:val="xl95"/>
    <w:basedOn w:val="Normal"/>
    <w:qFormat/>
    <w:rsid w:val="00143539"/>
    <w:pP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96" w:customStyle="1">
    <w:name w:val="xl96"/>
    <w:basedOn w:val="Normal"/>
    <w:qFormat/>
    <w:rsid w:val="00143539"/>
    <w:pPr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97" w:customStyle="1">
    <w:name w:val="xl97"/>
    <w:basedOn w:val="Normal"/>
    <w:qFormat/>
    <w:rsid w:val="00143539"/>
    <w:pP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98" w:customStyle="1">
    <w:name w:val="xl98"/>
    <w:basedOn w:val="Normal"/>
    <w:qFormat/>
    <w:rsid w:val="00143539"/>
    <w:pPr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99" w:customStyle="1">
    <w:name w:val="xl99"/>
    <w:basedOn w:val="Normal"/>
    <w:qFormat/>
    <w:rsid w:val="001435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E4BC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kern w:val="0"/>
      <w:lang w:eastAsia="ru-RU"/>
      <w14:ligatures w14:val="none"/>
    </w:rPr>
  </w:style>
  <w:style w:type="paragraph" w:styleId="xl100" w:customStyle="1">
    <w:name w:val="xl100"/>
    <w:basedOn w:val="Normal"/>
    <w:qFormat/>
    <w:rsid w:val="00143539"/>
    <w:pPr>
      <w:shd w:val="clear" w:color="000000" w:fill="D8E4BC"/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101" w:customStyle="1">
    <w:name w:val="xl101"/>
    <w:basedOn w:val="Normal"/>
    <w:qFormat/>
    <w:rsid w:val="00143539"/>
    <w:pPr>
      <w:shd w:val="clear" w:color="000000" w:fill="D8E4BC"/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102" w:customStyle="1">
    <w:name w:val="xl102"/>
    <w:basedOn w:val="Normal"/>
    <w:qFormat/>
    <w:rsid w:val="00143539"/>
    <w:pPr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103" w:customStyle="1">
    <w:name w:val="xl103"/>
    <w:basedOn w:val="Normal"/>
    <w:qFormat/>
    <w:rsid w:val="00143539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104" w:customStyle="1">
    <w:name w:val="xl104"/>
    <w:basedOn w:val="Normal"/>
    <w:qFormat/>
    <w:rsid w:val="00143539"/>
    <w:pPr>
      <w:spacing w:lineRule="auto" w:line="240" w:beforeAutospacing="1" w:afterAutospacing="1"/>
      <w:jc w:val="end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8"/>
    <w:uiPriority w:val="99"/>
    <w:unhideWhenUsed/>
    <w:rsid w:val="003017f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9"/>
    <w:uiPriority w:val="99"/>
    <w:unhideWhenUsed/>
    <w:rsid w:val="003017f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2">
    <w:name w:val="Содержимое таблицы"/>
    <w:basedOn w:val="Normal"/>
    <w:qFormat/>
    <w:pPr>
      <w:widowControl w:val="false"/>
      <w:suppressLineNumbers/>
    </w:pPr>
    <w:rPr/>
  </w:style>
  <w:style w:type="paragraph" w:styleId="Style13">
    <w:name w:val="Заголовок таблицы"/>
    <w:basedOn w:val="Style12"/>
    <w:qFormat/>
    <w:pPr>
      <w:suppressLineNumbers/>
      <w:jc w:val="center"/>
    </w:pPr>
    <w:rPr>
      <w:b/>
      <w:bCs/>
    </w:rPr>
  </w:style>
  <w:style w:type="numbering" w:styleId="Style14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Application>LibreOffice/24.8.3.2$Linux_X86_64 LibreOffice_project/480$Build-2</Application>
  <AppVersion>15.0000</AppVersion>
  <Pages>14</Pages>
  <Words>2764</Words>
  <Characters>16017</Characters>
  <CharactersWithSpaces>17906</CharactersWithSpaces>
  <Paragraphs>875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2025-10-26T05:38:00Z</dcterms:created>
  <dc:creator>Пушаев Джангр Петрович</dc:creator>
  <dc:description/>
  <dc:language>ru-RU</dc:language>
  <cp:lastModifiedBy/>
  <cp:lastPrinted>2025-11-17T11:53:56Z</cp:lastPrinted>
  <dcterms:modified xsi:type="dcterms:W3CDTF">2025-11-17T16:08:20Z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